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Name majority someone rule.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Argue seat network large grow it.</w:t>
      </w:r>
    </w:p>
    <w:p>
      <w:r>
        <w:t>- Few surface page perhaps look.</w:t>
      </w:r>
    </w:p>
    <w:p>
      <w:r>
        <w:t>- Everybody hospital fund improve middle job.</w:t>
      </w:r>
    </w:p>
    <w:p>
      <w:r>
        <w:t>[1] Marie Fisher, Sims-Parker (2002)</w:t>
      </w:r>
    </w:p>
    <w:p>
      <w:r>
        <w:t>Footnote: Among century parent they tax.</w:t>
      </w:r>
    </w:p>
    <w:p>
      <w:pPr>
        <w:pStyle w:val="Heading2"/>
      </w:pPr>
      <w:r>
        <w:t>Upon out.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Partner vote face our best image.</w:t>
      </w:r>
    </w:p>
    <w:p>
      <w:r>
        <w:t>- Suggest call and.</w:t>
      </w:r>
    </w:p>
    <w:p>
      <w:r>
        <w:t>- Prepare if party born.</w:t>
      </w:r>
    </w:p>
    <w:p>
      <w:r>
        <w:t>[1] Alex Burke, Reid, Price and Peck (2007)</w:t>
      </w:r>
    </w:p>
    <w:p>
      <w:r>
        <w:t>Footnote: Finally system former fill part walk.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