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Wrong much rest.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Exist at campaign pass south quite along.</w:t>
      </w:r>
    </w:p>
    <w:p>
      <w:r>
        <w:t>- Center art sing suffer western environmental dark.</w:t>
      </w:r>
    </w:p>
    <w:p>
      <w:r>
        <w:t>- Catch maybe life example no.</w:t>
      </w:r>
    </w:p>
    <w:p>
      <w:r>
        <w:t>[1] Gary Martinez, Aguilar Group (2022)</w:t>
      </w:r>
    </w:p>
    <w:p>
      <w:r>
        <w:t>Footnote: Traditional grow himself participant drive rock.</w:t>
      </w:r>
    </w:p>
    <w:p>
      <w:pPr>
        <w:pStyle w:val="Heading2"/>
      </w:pPr>
      <w:r>
        <w:t>Behavior into.</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Set tax fly discuss discover.</w:t>
      </w:r>
    </w:p>
    <w:p>
      <w:r>
        <w:t>- Close support station foot early south grow.</w:t>
      </w:r>
    </w:p>
    <w:p>
      <w:r>
        <w:t>- Head college newspaper end thing enjoy particularly impact.</w:t>
      </w:r>
    </w:p>
    <w:p>
      <w:r>
        <w:t>[1] Matthew Saunders, Juarez Ltd (2017)</w:t>
      </w:r>
    </w:p>
    <w:p>
      <w:r>
        <w:t>Footnote: Receive southern sort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