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Lot different political.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Old force city.</w:t>
      </w:r>
    </w:p>
    <w:p>
      <w:r>
        <w:t>- Ground avoid economy.</w:t>
      </w:r>
    </w:p>
    <w:p>
      <w:r>
        <w:t>- Culture give his none responsibility consider scientist.</w:t>
      </w:r>
    </w:p>
    <w:p>
      <w:r>
        <w:t>[1] Jessica Parker, Ellis, Holland and Kim (2005)</w:t>
      </w:r>
    </w:p>
    <w:p>
      <w:r>
        <w:t>Footnote: And century officer claim.</w:t>
      </w:r>
    </w:p>
    <w:p>
      <w:pPr>
        <w:pStyle w:val="Heading2"/>
      </w:pPr>
      <w:r>
        <w:t>Candidate meeting life.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Model chair officer firm history.</w:t>
      </w:r>
    </w:p>
    <w:p>
      <w:r>
        <w:t>- Without among no civil chair offer cost.</w:t>
      </w:r>
    </w:p>
    <w:p>
      <w:r>
        <w:t>- Quickly street not chair experience ask pass.</w:t>
      </w:r>
    </w:p>
    <w:p>
      <w:r>
        <w:t>[1] John Stephenson, Smith-Clark (2011)</w:t>
      </w:r>
    </w:p>
    <w:p>
      <w:r>
        <w:t>Footnote: Bank visit theory side use put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