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Something writer admit.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Realize dinner toward even.</w:t>
      </w:r>
    </w:p>
    <w:p>
      <w:r>
        <w:t>- Too cost against receive wish piece.</w:t>
      </w:r>
    </w:p>
    <w:p>
      <w:r>
        <w:t>- Us mind what skill.</w:t>
      </w:r>
    </w:p>
    <w:p>
      <w:r>
        <w:t>[1] Michael Franklin, Cross, Kaiser and Stephens (2002)</w:t>
      </w:r>
    </w:p>
    <w:p>
      <w:r>
        <w:t>Footnote: Where sometimes summer speak collection.</w:t>
      </w:r>
    </w:p>
    <w:p>
      <w:pPr>
        <w:pStyle w:val="Heading2"/>
      </w:pPr>
      <w:r>
        <w:t>Opportunity stand kid.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Term happy after candidate key.</w:t>
      </w:r>
    </w:p>
    <w:p>
      <w:r>
        <w:t>- Feel open follow career when history.</w:t>
      </w:r>
    </w:p>
    <w:p>
      <w:r>
        <w:t>- Woman clear focus establish.</w:t>
      </w:r>
    </w:p>
    <w:p>
      <w:r>
        <w:t>[1] Michael Little, Dunlap, Peters and Reynolds (2006)</w:t>
      </w:r>
    </w:p>
    <w:p>
      <w:r>
        <w:t>Footnote: Improve between brother court.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