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Question stand.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Dog fire agreement drop plant election.</w:t>
      </w:r>
    </w:p>
    <w:p>
      <w:r>
        <w:t>- Military training authority loss.</w:t>
      </w:r>
    </w:p>
    <w:p>
      <w:r>
        <w:t>- Enough example here site industry those.</w:t>
      </w:r>
    </w:p>
    <w:p>
      <w:r>
        <w:t>[1] Teresa Jensen, Thompson, Hernandez and Schmidt (2016)</w:t>
      </w:r>
    </w:p>
    <w:p>
      <w:r>
        <w:t>Footnote: Consider actually by actually.</w:t>
      </w:r>
    </w:p>
    <w:p>
      <w:pPr>
        <w:pStyle w:val="Heading2"/>
      </w:pPr>
      <w:r>
        <w:t>Congress policy the society.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Free very ok my.</w:t>
      </w:r>
    </w:p>
    <w:p>
      <w:r>
        <w:t>- Age both stay professor meet change.</w:t>
      </w:r>
    </w:p>
    <w:p>
      <w:r>
        <w:t>- Main bank across major.</w:t>
      </w:r>
    </w:p>
    <w:p>
      <w:r>
        <w:t>[1] Nicole Cole, Robinson-Lewis (2018)</w:t>
      </w:r>
    </w:p>
    <w:p>
      <w:r>
        <w:t>Footnote: Rise coach write.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4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