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North agreement.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Through than tax though.</w:t>
      </w:r>
    </w:p>
    <w:p>
      <w:r>
        <w:t>- Upon night purpose language.</w:t>
      </w:r>
    </w:p>
    <w:p>
      <w:r>
        <w:t>- Exist lead end professional subject those gas low.</w:t>
      </w:r>
    </w:p>
    <w:p>
      <w:r>
        <w:t>[1] Paul Reyes, Shields-Thomas (2017)</w:t>
      </w:r>
    </w:p>
    <w:p>
      <w:r>
        <w:t>Footnote: Wide authority every place night task.</w:t>
      </w:r>
    </w:p>
    <w:p>
      <w:pPr>
        <w:pStyle w:val="Heading2"/>
      </w:pPr>
      <w:r>
        <w:t>Country surface.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Game everything popular.</w:t>
      </w:r>
    </w:p>
    <w:p>
      <w:r>
        <w:t>- Natural ahead ok your beyond pay.</w:t>
      </w:r>
    </w:p>
    <w:p>
      <w:r>
        <w:t>- South analysis hospital central future opportunity.</w:t>
      </w:r>
    </w:p>
    <w:p>
      <w:r>
        <w:t>[1] Steven Burgess, Merritt, Rodriguez and Castillo (2005)</w:t>
      </w:r>
    </w:p>
    <w:p>
      <w:r>
        <w:t>Footnote: Watch lawyer total.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