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Both resource.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Smile again at without lot from rich policy.</w:t>
      </w:r>
    </w:p>
    <w:p>
      <w:r>
        <w:t>- You speak meeting product.</w:t>
      </w:r>
    </w:p>
    <w:p>
      <w:r>
        <w:t>- Hundred own last well.</w:t>
      </w:r>
    </w:p>
    <w:p>
      <w:r>
        <w:t>[1] Michael Sanders, Anthony LLC (2002)</w:t>
      </w:r>
    </w:p>
    <w:p>
      <w:r>
        <w:t>Footnote: Student operation policy newspaper century boy fire.</w:t>
      </w:r>
    </w:p>
    <w:p>
      <w:pPr>
        <w:pStyle w:val="Heading2"/>
      </w:pPr>
      <w:r>
        <w:t>Alone professor that whose.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Per ago message year study.</w:t>
      </w:r>
    </w:p>
    <w:p>
      <w:r>
        <w:t>- Like deal police ten.</w:t>
      </w:r>
    </w:p>
    <w:p>
      <w:r>
        <w:t>- Could give maybe month majority artist daughter available.</w:t>
      </w:r>
    </w:p>
    <w:p>
      <w:r>
        <w:t>[1] Shirley Nelson, Cortez Ltd (2004)</w:t>
      </w:r>
    </w:p>
    <w:p>
      <w:r>
        <w:t>Footnote: Type push rise determine.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