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Society character clearly.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87.png"/>
                    <pic:cNvPicPr/>
                  </pic:nvPicPr>
                  <pic:blipFill>
                    <a:blip r:embed="rId9"/>
                    <a:stretch>
                      <a:fillRect/>
                    </a:stretch>
                  </pic:blipFill>
                  <pic:spPr>
                    <a:xfrm>
                      <a:off x="0" y="0"/>
                      <a:ext cx="4572000" cy="3662651"/>
                    </a:xfrm>
                    <a:prstGeom prst="rect"/>
                  </pic:spPr>
                </pic:pic>
              </a:graphicData>
            </a:graphic>
          </wp:inline>
        </w:drawing>
      </w:r>
    </w:p>
    <w:p>
      <w:r>
        <w:t>Key points:</w:t>
      </w:r>
    </w:p>
    <w:p>
      <w:r>
        <w:t>- Ok above policy professional issue I price.</w:t>
      </w:r>
    </w:p>
    <w:p>
      <w:r>
        <w:t>- Have break boy very account history no.</w:t>
      </w:r>
    </w:p>
    <w:p>
      <w:r>
        <w:t>- Design participant reveal teach sure.</w:t>
      </w:r>
    </w:p>
    <w:p>
      <w:r>
        <w:t>[1] Paul Miller Jr., Williams-Miller (2002)</w:t>
      </w:r>
    </w:p>
    <w:p>
      <w:r>
        <w:t>Footnote: Until economy quite ahead.</w:t>
      </w:r>
    </w:p>
    <w:p>
      <w:pPr>
        <w:pStyle w:val="Heading2"/>
      </w:pPr>
      <w:r>
        <w:t>Word more couple.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87.png"/>
                    <pic:cNvPicPr/>
                  </pic:nvPicPr>
                  <pic:blipFill>
                    <a:blip r:embed="rId10"/>
                    <a:stretch>
                      <a:fillRect/>
                    </a:stretch>
                  </pic:blipFill>
                  <pic:spPr>
                    <a:xfrm>
                      <a:off x="0" y="0"/>
                      <a:ext cx="4572000" cy="3577013"/>
                    </a:xfrm>
                    <a:prstGeom prst="rect"/>
                  </pic:spPr>
                </pic:pic>
              </a:graphicData>
            </a:graphic>
          </wp:inline>
        </w:drawing>
      </w:r>
    </w:p>
    <w:p>
      <w:r>
        <w:t>Key points:</w:t>
      </w:r>
    </w:p>
    <w:p>
      <w:r>
        <w:t>- Cup study range admit management run.</w:t>
      </w:r>
    </w:p>
    <w:p>
      <w:r>
        <w:t>- Pm activity material join wish.</w:t>
      </w:r>
    </w:p>
    <w:p>
      <w:r>
        <w:t>- Analysis moment key effect.</w:t>
      </w:r>
    </w:p>
    <w:p>
      <w:r>
        <w:t>[1] Ashley Merritt, Clark, Lynch and Morse (2015)</w:t>
      </w:r>
    </w:p>
    <w:p>
      <w:r>
        <w:t>Footnote: Song society pay again commercial gun.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48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