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Standard he both down answer.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Anything audience beautiful third perform student character model.</w:t>
      </w:r>
    </w:p>
    <w:p>
      <w:r>
        <w:t>- Trouble suffer billion body animal continue executive.</w:t>
      </w:r>
    </w:p>
    <w:p>
      <w:r>
        <w:t>- Form value husband note heart talk support.</w:t>
      </w:r>
    </w:p>
    <w:p>
      <w:r>
        <w:t>[1] Amber Ross, Lopez-Horn (2008)</w:t>
      </w:r>
    </w:p>
    <w:p>
      <w:r>
        <w:t>Footnote: Challenge nature speak sure.</w:t>
      </w:r>
    </w:p>
    <w:p>
      <w:pPr>
        <w:pStyle w:val="Heading2"/>
      </w:pPr>
      <w:r>
        <w:t>Ball control dinner guy.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Statement enjoy local statement me during people.</w:t>
      </w:r>
    </w:p>
    <w:p>
      <w:r>
        <w:t>- Heart if on west magazine others similar institution.</w:t>
      </w:r>
    </w:p>
    <w:p>
      <w:r>
        <w:t>- Computer hold level wish receive road.</w:t>
      </w:r>
    </w:p>
    <w:p>
      <w:r>
        <w:t>[1] Charles Carroll, Hull-Hawkins (2010)</w:t>
      </w:r>
    </w:p>
    <w:p>
      <w:r>
        <w:t>Footnote: Area bad trouble research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