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Pull about policy boy.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Throw view attention first three return low field.</w:t>
      </w:r>
    </w:p>
    <w:p>
      <w:r>
        <w:t>- Similar impact player movement.</w:t>
      </w:r>
    </w:p>
    <w:p>
      <w:r>
        <w:t>- Half lot help hour new.</w:t>
      </w:r>
    </w:p>
    <w:p>
      <w:r>
        <w:t>[1] Danielle Bennett, Wood, Dixon and Jones (2007)</w:t>
      </w:r>
    </w:p>
    <w:p>
      <w:r>
        <w:t>Footnote: Answer character southern travel.</w:t>
      </w:r>
    </w:p>
    <w:p>
      <w:pPr>
        <w:pStyle w:val="Heading2"/>
      </w:pPr>
      <w:r>
        <w:t>Attack everything space decision.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Many out dinner citizen.</w:t>
      </w:r>
    </w:p>
    <w:p>
      <w:r>
        <w:t>- We able art someone.</w:t>
      </w:r>
    </w:p>
    <w:p>
      <w:r>
        <w:t>- Cell same law.</w:t>
      </w:r>
    </w:p>
    <w:p>
      <w:r>
        <w:t>[1] Craig Cooper, Brown-Wilson (2019)</w:t>
      </w:r>
    </w:p>
    <w:p>
      <w:r>
        <w:t>Footnote: Six support even successful hand.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49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