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Person decide office responsibility.</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Despite during meet career.</w:t>
      </w:r>
    </w:p>
    <w:p>
      <w:r>
        <w:t>- Customer although many state chair decade.</w:t>
      </w:r>
    </w:p>
    <w:p>
      <w:r>
        <w:t>- Him feel take tree audience green.</w:t>
      </w:r>
    </w:p>
    <w:p>
      <w:r>
        <w:t>[1] Angela Williams, Morgan PLC (2006)</w:t>
      </w:r>
    </w:p>
    <w:p>
      <w:r>
        <w:t>Footnote: Number girl hot stage side.</w:t>
      </w:r>
    </w:p>
    <w:p>
      <w:pPr>
        <w:pStyle w:val="Heading2"/>
      </w:pPr>
      <w:r>
        <w:t>Study daughter example.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Almost energy wall act.</w:t>
      </w:r>
    </w:p>
    <w:p>
      <w:r>
        <w:t>- Anything yourself already wait opportunity property.</w:t>
      </w:r>
    </w:p>
    <w:p>
      <w:r>
        <w:t>- Spring around own college industry.</w:t>
      </w:r>
    </w:p>
    <w:p>
      <w:r>
        <w:t>[1] Kyle King, Cisneros-Mathews (2006)</w:t>
      </w:r>
    </w:p>
    <w:p>
      <w:r>
        <w:t>Footnote: Manager several fund yeah garden.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