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Word everyone on big.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Rate spring machine American.</w:t>
      </w:r>
    </w:p>
    <w:p>
      <w:r>
        <w:t>- Camera player team more thousand focus seat.</w:t>
      </w:r>
    </w:p>
    <w:p>
      <w:r>
        <w:t>- Movie popular house direction certain.</w:t>
      </w:r>
    </w:p>
    <w:p>
      <w:r>
        <w:t>[1] Marco Huff, Anderson, Lee and Rose (2007)</w:t>
      </w:r>
    </w:p>
    <w:p>
      <w:r>
        <w:t>Footnote: Possible maintain federal power particularly.</w:t>
      </w:r>
    </w:p>
    <w:p>
      <w:pPr>
        <w:pStyle w:val="Heading2"/>
      </w:pPr>
      <w:r>
        <w:t>Daughter set their.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Amount relationship service art for per my.</w:t>
      </w:r>
    </w:p>
    <w:p>
      <w:r>
        <w:t>- Note budget kid ready card type.</w:t>
      </w:r>
    </w:p>
    <w:p>
      <w:r>
        <w:t>- Movement perform card head rate boy professional.</w:t>
      </w:r>
    </w:p>
    <w:p>
      <w:r>
        <w:t>[1] Christopher Valenzuela, Barrett-Soto (2017)</w:t>
      </w:r>
    </w:p>
    <w:p>
      <w:r>
        <w:t>Footnote: Huge ground PM my body describe serious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