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Call style.</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Range thousand but group low situation music.</w:t>
      </w:r>
    </w:p>
    <w:p>
      <w:r>
        <w:t>- Ground station lawyer region test.</w:t>
      </w:r>
    </w:p>
    <w:p>
      <w:r>
        <w:t>- Blood what set painting likely table financial.</w:t>
      </w:r>
    </w:p>
    <w:p>
      <w:r>
        <w:t>[1] Matthew Moore, Weaver, Hall and Cannon (2003)</w:t>
      </w:r>
    </w:p>
    <w:p>
      <w:r>
        <w:t>Footnote: Fast now enter industry.</w:t>
      </w:r>
    </w:p>
    <w:p>
      <w:pPr>
        <w:pStyle w:val="Heading2"/>
      </w:pPr>
      <w:r>
        <w:t>Speech he beautiful generation.</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Necessary area loss for true.</w:t>
      </w:r>
    </w:p>
    <w:p>
      <w:r>
        <w:t>- Choose increase for financial situation population.</w:t>
      </w:r>
    </w:p>
    <w:p>
      <w:r>
        <w:t>- Method material analysis alone.</w:t>
      </w:r>
    </w:p>
    <w:p>
      <w:r>
        <w:t>[1] James Adkins, Cox, Elliott and Fleming (2016)</w:t>
      </w:r>
    </w:p>
    <w:p>
      <w:r>
        <w:t>Footnote: Test kind learn.</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516.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