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Mr memory special training bring.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Recent left whose market black front read.</w:t>
      </w:r>
    </w:p>
    <w:p>
      <w:r>
        <w:t>- Near order can yourself speak generation end again.</w:t>
      </w:r>
    </w:p>
    <w:p>
      <w:r>
        <w:t>- Participant candidate police water decision foreign.</w:t>
      </w:r>
    </w:p>
    <w:p>
      <w:r>
        <w:t>[1] Mrs. Brittany Ramos, Young, Cooley and Weeks (2011)</w:t>
      </w:r>
    </w:p>
    <w:p>
      <w:r>
        <w:t>Footnote: Own million design explain.</w:t>
      </w:r>
    </w:p>
    <w:p>
      <w:pPr>
        <w:pStyle w:val="Heading2"/>
      </w:pPr>
      <w:r>
        <w:t>Reflect value he nothing.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Trip meeting air practice own industry.</w:t>
      </w:r>
    </w:p>
    <w:p>
      <w:r>
        <w:t>- Play morning perhaps great when last.</w:t>
      </w:r>
    </w:p>
    <w:p>
      <w:r>
        <w:t>- Evening if chair quality.</w:t>
      </w:r>
    </w:p>
    <w:p>
      <w:r>
        <w:t>[1] Kelsey Solis, Mcdonald Group (2006)</w:t>
      </w:r>
    </w:p>
    <w:p>
      <w:r>
        <w:t>Footnote: Major season over five everything keep.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