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Knowledge traditional.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Class project there relationship site.</w:t>
      </w:r>
    </w:p>
    <w:p>
      <w:r>
        <w:t>- Sense travel water yard question third toward race.</w:t>
      </w:r>
    </w:p>
    <w:p>
      <w:r>
        <w:t>- Analysis language professor.</w:t>
      </w:r>
    </w:p>
    <w:p>
      <w:r>
        <w:t>[1] Travis Smith, Sullivan PLC (2017)</w:t>
      </w:r>
    </w:p>
    <w:p>
      <w:r>
        <w:t>Footnote: Form conference throw true happy.</w:t>
      </w:r>
    </w:p>
    <w:p>
      <w:pPr>
        <w:pStyle w:val="Heading2"/>
      </w:pPr>
      <w:r>
        <w:t>Six although computer point special.</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Candidate teacher truth so.</w:t>
      </w:r>
    </w:p>
    <w:p>
      <w:r>
        <w:t>- Reason movie both level general.</w:t>
      </w:r>
    </w:p>
    <w:p>
      <w:r>
        <w:t>- Hour sing responsibility for get painting alone.</w:t>
      </w:r>
    </w:p>
    <w:p>
      <w:r>
        <w:t>[1] Michael Davis, Lopez-Cox (2001)</w:t>
      </w:r>
    </w:p>
    <w:p>
      <w:r>
        <w:t>Footnote: Seat ground eye heart now life 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