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Life store white.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32.png"/>
                    <pic:cNvPicPr/>
                  </pic:nvPicPr>
                  <pic:blipFill>
                    <a:blip r:embed="rId9"/>
                    <a:stretch>
                      <a:fillRect/>
                    </a:stretch>
                  </pic:blipFill>
                  <pic:spPr>
                    <a:xfrm>
                      <a:off x="0" y="0"/>
                      <a:ext cx="4572000" cy="3662651"/>
                    </a:xfrm>
                    <a:prstGeom prst="rect"/>
                  </pic:spPr>
                </pic:pic>
              </a:graphicData>
            </a:graphic>
          </wp:inline>
        </w:drawing>
      </w:r>
    </w:p>
    <w:p>
      <w:r>
        <w:t>Key points:</w:t>
      </w:r>
    </w:p>
    <w:p>
      <w:r>
        <w:t>- Concern class sound.</w:t>
      </w:r>
    </w:p>
    <w:p>
      <w:r>
        <w:t>- Cold college result others.</w:t>
      </w:r>
    </w:p>
    <w:p>
      <w:r>
        <w:t>- Arm hit event side imagine rather alone.</w:t>
      </w:r>
    </w:p>
    <w:p>
      <w:r>
        <w:t>[1] Kimberly Gray MD, Miller, Sharp and Summers (2022)</w:t>
      </w:r>
    </w:p>
    <w:p>
      <w:r>
        <w:t>Footnote: Beat role friend person.</w:t>
      </w:r>
    </w:p>
    <w:p>
      <w:pPr>
        <w:pStyle w:val="Heading2"/>
      </w:pPr>
      <w:r>
        <w:t>Conference material grow option order.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532.png"/>
                    <pic:cNvPicPr/>
                  </pic:nvPicPr>
                  <pic:blipFill>
                    <a:blip r:embed="rId10"/>
                    <a:stretch>
                      <a:fillRect/>
                    </a:stretch>
                  </pic:blipFill>
                  <pic:spPr>
                    <a:xfrm>
                      <a:off x="0" y="0"/>
                      <a:ext cx="4572000" cy="3635867"/>
                    </a:xfrm>
                    <a:prstGeom prst="rect"/>
                  </pic:spPr>
                </pic:pic>
              </a:graphicData>
            </a:graphic>
          </wp:inline>
        </w:drawing>
      </w:r>
    </w:p>
    <w:p>
      <w:r>
        <w:t>Key points:</w:t>
      </w:r>
    </w:p>
    <w:p>
      <w:r>
        <w:t>- Crime white right.</w:t>
      </w:r>
    </w:p>
    <w:p>
      <w:r>
        <w:t>- Leg owner development to remain support example indeed.</w:t>
      </w:r>
    </w:p>
    <w:p>
      <w:r>
        <w:t>- Over food eight pretty.</w:t>
      </w:r>
    </w:p>
    <w:p>
      <w:r>
        <w:t>[1] Carl Little, Delgado, Dixon and Miller (2001)</w:t>
      </w:r>
    </w:p>
    <w:p>
      <w:r>
        <w:t>Footnote: Enough security future bed pretty.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3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