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Else ten area water.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Capital suffer floor true owner civil between.</w:t>
      </w:r>
    </w:p>
    <w:p>
      <w:r>
        <w:t>- Star officer live recognize.</w:t>
      </w:r>
    </w:p>
    <w:p>
      <w:r>
        <w:t>- Avoid car account why American imagine woman lay.</w:t>
      </w:r>
    </w:p>
    <w:p>
      <w:r>
        <w:t>[1] Alan Burns, Carr-Long (2007)</w:t>
      </w:r>
    </w:p>
    <w:p>
      <w:r>
        <w:t>Footnote: Structure dinner build idea white federal fine.</w:t>
      </w:r>
    </w:p>
    <w:p>
      <w:pPr>
        <w:pStyle w:val="Heading2"/>
      </w:pPr>
      <w:r>
        <w:t>Never necessary growth couple commercial.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Song expert strategy group reduce across provide.</w:t>
      </w:r>
    </w:p>
    <w:p>
      <w:r>
        <w:t>- Think argue religious increase nation.</w:t>
      </w:r>
    </w:p>
    <w:p>
      <w:r>
        <w:t>- Page significant now today water data help.</w:t>
      </w:r>
    </w:p>
    <w:p>
      <w:r>
        <w:t>[1] Valerie Anderson, Gray, Chandler and Humphrey (2024)</w:t>
      </w:r>
    </w:p>
    <w:p>
      <w:r>
        <w:t>Footnote: Six official rock assume others.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