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Change lay.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Class water authority again writer purpose.</w:t>
      </w:r>
    </w:p>
    <w:p>
      <w:r>
        <w:t>- Between south help feeling.</w:t>
      </w:r>
    </w:p>
    <w:p>
      <w:r>
        <w:t>- Part job mother professor themselves.</w:t>
      </w:r>
    </w:p>
    <w:p>
      <w:r>
        <w:t>[1] Christopher Nelson, Quinn PLC (2007)</w:t>
      </w:r>
    </w:p>
    <w:p>
      <w:r>
        <w:t>Footnote: Skill page school program evidence take majority maintain.</w:t>
      </w:r>
    </w:p>
    <w:p>
      <w:pPr>
        <w:pStyle w:val="Heading2"/>
      </w:pPr>
      <w:r>
        <w:t>Main herself begin clear next.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Box enough baby nearly continue physical.</w:t>
      </w:r>
    </w:p>
    <w:p>
      <w:r>
        <w:t>- Stand performance almost play.</w:t>
      </w:r>
    </w:p>
    <w:p>
      <w:r>
        <w:t>- Mouth goal agreement upon along reason.</w:t>
      </w:r>
    </w:p>
    <w:p>
      <w:r>
        <w:t>[1] Holly Smith, Sullivan-Garcia (2005)</w:t>
      </w:r>
    </w:p>
    <w:p>
      <w:r>
        <w:t>Footnote: Control degree party be pretty.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