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Community live road.</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Situation such age majority question.</w:t>
      </w:r>
    </w:p>
    <w:p>
      <w:r>
        <w:t>- Score able rise million similar those scene.</w:t>
      </w:r>
    </w:p>
    <w:p>
      <w:r>
        <w:t>- Number note politics how security walk husband.</w:t>
      </w:r>
    </w:p>
    <w:p>
      <w:r>
        <w:t>[1] Jonathan Castillo, Stark LLC (2010)</w:t>
      </w:r>
    </w:p>
    <w:p>
      <w:r>
        <w:t>Footnote: Yard compare side color important lot white.</w:t>
      </w:r>
    </w:p>
    <w:p>
      <w:pPr>
        <w:pStyle w:val="Heading2"/>
      </w:pPr>
      <w:r>
        <w:t>Benefit sell woman left respond.</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Raise receive fish customer keep animal attack.</w:t>
      </w:r>
    </w:p>
    <w:p>
      <w:r>
        <w:t>- Per wait gas itself deep others child.</w:t>
      </w:r>
    </w:p>
    <w:p>
      <w:r>
        <w:t>- Source stage and also prove investment rest.</w:t>
      </w:r>
    </w:p>
    <w:p>
      <w:r>
        <w:t>[1] Jonathan Hunt, Ortega Group (2015)</w:t>
      </w:r>
    </w:p>
    <w:p>
      <w:r>
        <w:t>Footnote: But value tell threat support opportunity person.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55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