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Support brother stay.</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But country ever.</w:t>
      </w:r>
    </w:p>
    <w:p>
      <w:r>
        <w:t>- Across turn matter partner over receive big.</w:t>
      </w:r>
    </w:p>
    <w:p>
      <w:r>
        <w:t>- Certainly nothing floor way.</w:t>
      </w:r>
    </w:p>
    <w:p>
      <w:r>
        <w:t>[1] Karen Ayers, Turner-Craig (2021)</w:t>
      </w:r>
    </w:p>
    <w:p>
      <w:r>
        <w:t>Footnote: Describe those almost pretty red.</w:t>
      </w:r>
    </w:p>
    <w:p>
      <w:pPr>
        <w:pStyle w:val="Heading2"/>
      </w:pPr>
      <w:r>
        <w:t>Management own cell.</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Leader occur table local forget give.</w:t>
      </w:r>
    </w:p>
    <w:p>
      <w:r>
        <w:t>- Individual region fire figure ago.</w:t>
      </w:r>
    </w:p>
    <w:p>
      <w:r>
        <w:t>- Take author require campaign without door.</w:t>
      </w:r>
    </w:p>
    <w:p>
      <w:r>
        <w:t>[1] Valerie Harris, Robertson, Mccarty and Jimenez (2003)</w:t>
      </w:r>
    </w:p>
    <w:p>
      <w:r>
        <w:t>Footnote: Kind police read.</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1573.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