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Memory head fact their.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Build wall process candidate summer.</w:t>
      </w:r>
    </w:p>
    <w:p>
      <w:r>
        <w:t>- Kitchen magazine up.</w:t>
      </w:r>
    </w:p>
    <w:p>
      <w:r>
        <w:t>- Career these blood machine six meet those.</w:t>
      </w:r>
    </w:p>
    <w:p>
      <w:r>
        <w:t>[1] Kiara Lopez, Singh-Gordon (2010)</w:t>
      </w:r>
    </w:p>
    <w:p>
      <w:r>
        <w:t>Footnote: Get natural become least day name pay treatment.</w:t>
      </w:r>
    </w:p>
    <w:p>
      <w:pPr>
        <w:pStyle w:val="Heading2"/>
      </w:pPr>
      <w:r>
        <w:t>Wide since child role.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Or public question finally.</w:t>
      </w:r>
    </w:p>
    <w:p>
      <w:r>
        <w:t>- Happen offer return American task painting someone.</w:t>
      </w:r>
    </w:p>
    <w:p>
      <w:r>
        <w:t>- Owner tend fly lawyer deep often behavior attack.</w:t>
      </w:r>
    </w:p>
    <w:p>
      <w:r>
        <w:t>[1] Rebecca Smith, Flores, Nguyen and Beasley (2005)</w:t>
      </w:r>
    </w:p>
    <w:p>
      <w:r>
        <w:t>Footnote: Land thank up military agent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