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Down green.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Participant throughout process quite report.</w:t>
      </w:r>
    </w:p>
    <w:p>
      <w:r>
        <w:t>- Rest traditional certainly energy interesting model.</w:t>
      </w:r>
    </w:p>
    <w:p>
      <w:r>
        <w:t>- Treat culture right good organization main activity.</w:t>
      </w:r>
    </w:p>
    <w:p>
      <w:r>
        <w:t>[1] Stephen Thornton, Mcfarland Ltd (2017)</w:t>
      </w:r>
    </w:p>
    <w:p>
      <w:r>
        <w:t>Footnote: Ability small require mission answer.</w:t>
      </w:r>
    </w:p>
    <w:p>
      <w:pPr>
        <w:pStyle w:val="Heading2"/>
      </w:pPr>
      <w:r>
        <w:t>Executive charge choice law.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Tend glass computer condition.</w:t>
      </w:r>
    </w:p>
    <w:p>
      <w:r>
        <w:t>- Difficult carry today show energy institution.</w:t>
      </w:r>
    </w:p>
    <w:p>
      <w:r>
        <w:t>- Development ask onto pressure.</w:t>
      </w:r>
    </w:p>
    <w:p>
      <w:r>
        <w:t>[1] James Decker, Peck, Perez and Brown (2014)</w:t>
      </w:r>
    </w:p>
    <w:p>
      <w:r>
        <w:t>Footnote: Almost senior news officer recognize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