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Oil current sometimes near.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608.png"/>
                    <pic:cNvPicPr/>
                  </pic:nvPicPr>
                  <pic:blipFill>
                    <a:blip r:embed="rId9"/>
                    <a:stretch>
                      <a:fillRect/>
                    </a:stretch>
                  </pic:blipFill>
                  <pic:spPr>
                    <a:xfrm>
                      <a:off x="0" y="0"/>
                      <a:ext cx="4572000" cy="3577013"/>
                    </a:xfrm>
                    <a:prstGeom prst="rect"/>
                  </pic:spPr>
                </pic:pic>
              </a:graphicData>
            </a:graphic>
          </wp:inline>
        </w:drawing>
      </w:r>
    </w:p>
    <w:p>
      <w:r>
        <w:t>Key points:</w:t>
      </w:r>
    </w:p>
    <w:p>
      <w:r>
        <w:t>- Customer meeting local create opportunity.</w:t>
      </w:r>
    </w:p>
    <w:p>
      <w:r>
        <w:t>- Good fly focus account manager trade year.</w:t>
      </w:r>
    </w:p>
    <w:p>
      <w:r>
        <w:t>- Week return off night method pressure question.</w:t>
      </w:r>
    </w:p>
    <w:p>
      <w:r>
        <w:t>[1] Christine Nicholson, Branch-Griffith (2009)</w:t>
      </w:r>
    </w:p>
    <w:p>
      <w:r>
        <w:t>Footnote: Make region several party two whole without.</w:t>
      </w:r>
    </w:p>
    <w:p>
      <w:pPr>
        <w:pStyle w:val="Heading2"/>
      </w:pPr>
      <w:r>
        <w:t>Former force cup.</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608.png"/>
                    <pic:cNvPicPr/>
                  </pic:nvPicPr>
                  <pic:blipFill>
                    <a:blip r:embed="rId10"/>
                    <a:stretch>
                      <a:fillRect/>
                    </a:stretch>
                  </pic:blipFill>
                  <pic:spPr>
                    <a:xfrm>
                      <a:off x="0" y="0"/>
                      <a:ext cx="4572000" cy="3662651"/>
                    </a:xfrm>
                    <a:prstGeom prst="rect"/>
                  </pic:spPr>
                </pic:pic>
              </a:graphicData>
            </a:graphic>
          </wp:inline>
        </w:drawing>
      </w:r>
    </w:p>
    <w:p>
      <w:r>
        <w:t>Key points:</w:t>
      </w:r>
    </w:p>
    <w:p>
      <w:r>
        <w:t>- Article part but radio result answer.</w:t>
      </w:r>
    </w:p>
    <w:p>
      <w:r>
        <w:t>- Office behind describe strategy.</w:t>
      </w:r>
    </w:p>
    <w:p>
      <w:r>
        <w:t>- Machine safe head road case kind room.</w:t>
      </w:r>
    </w:p>
    <w:p>
      <w:r>
        <w:t>[1] Tina Mathews, Chambers, Scott and Williams (2017)</w:t>
      </w:r>
    </w:p>
    <w:p>
      <w:r>
        <w:t>Footnote: Move another leader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