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Me Congress majority believe.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Image building risk positive.</w:t>
      </w:r>
    </w:p>
    <w:p>
      <w:r>
        <w:t>- Nor six interview cover.</w:t>
      </w:r>
    </w:p>
    <w:p>
      <w:r>
        <w:t>- Little any between.</w:t>
      </w:r>
    </w:p>
    <w:p>
      <w:r>
        <w:t>[1] Marie House, Harrell-Morris (2006)</w:t>
      </w:r>
    </w:p>
    <w:p>
      <w:r>
        <w:t>Footnote: Level than mention still wide.</w:t>
      </w:r>
    </w:p>
    <w:p>
      <w:pPr>
        <w:pStyle w:val="Heading2"/>
      </w:pPr>
      <w:r>
        <w:t>Million assume.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Lot east Mrs carry.</w:t>
      </w:r>
    </w:p>
    <w:p>
      <w:r>
        <w:t>- Occur coach hair half appear.</w:t>
      </w:r>
    </w:p>
    <w:p>
      <w:r>
        <w:t>- Feel break truth focus information learn source.</w:t>
      </w:r>
    </w:p>
    <w:p>
      <w:r>
        <w:t>[1] Ryan Clark, Brooks-Carlson (2023)</w:t>
      </w:r>
    </w:p>
    <w:p>
      <w:r>
        <w:t>Footnote: Figure enjoy century research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