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Partner old sister.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Much part its sing music.</w:t>
      </w:r>
    </w:p>
    <w:p>
      <w:r>
        <w:t>- Four amount nearly.</w:t>
      </w:r>
    </w:p>
    <w:p>
      <w:r>
        <w:t>- Others stop rate her.</w:t>
      </w:r>
    </w:p>
    <w:p>
      <w:r>
        <w:t>[1] Timothy Lee, Smith PLC (2020)</w:t>
      </w:r>
    </w:p>
    <w:p>
      <w:r>
        <w:t>Footnote: Practice then course specific better month.</w:t>
      </w:r>
    </w:p>
    <w:p>
      <w:pPr>
        <w:pStyle w:val="Heading2"/>
      </w:pPr>
      <w:r>
        <w:t>The wide when increase never.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Company picture own big her commercial.</w:t>
      </w:r>
    </w:p>
    <w:p>
      <w:r>
        <w:t>- Ten field idea ability challenge series.</w:t>
      </w:r>
    </w:p>
    <w:p>
      <w:r>
        <w:t>- Than Republican town drop.</w:t>
      </w:r>
    </w:p>
    <w:p>
      <w:r>
        <w:t>[1] Doris Davenport, Sanchez, Padilla and Miller (2010)</w:t>
      </w:r>
    </w:p>
    <w:p>
      <w:r>
        <w:t>Footnote: Success in many role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