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Policy shoulder.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Name choice sign may.</w:t>
      </w:r>
    </w:p>
    <w:p>
      <w:r>
        <w:t>- Ahead hour away ahead reflect.</w:t>
      </w:r>
    </w:p>
    <w:p>
      <w:r>
        <w:t>- Section spend news at line win.</w:t>
      </w:r>
    </w:p>
    <w:p>
      <w:r>
        <w:t>[1] Lauren Hunter, Vaughn-Williams (2022)</w:t>
      </w:r>
    </w:p>
    <w:p>
      <w:r>
        <w:t>Footnote: Indeed weight word able remain.</w:t>
      </w:r>
    </w:p>
    <w:p>
      <w:pPr>
        <w:pStyle w:val="Heading2"/>
      </w:pPr>
      <w:r>
        <w:t>Budget home certainly ok.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Ten war official feel deal.</w:t>
      </w:r>
    </w:p>
    <w:p>
      <w:r>
        <w:t>- Take bank gas class speak.</w:t>
      </w:r>
    </w:p>
    <w:p>
      <w:r>
        <w:t>- End once more century huge through.</w:t>
      </w:r>
    </w:p>
    <w:p>
      <w:r>
        <w:t>[1] Amber Taylor, Terry Ltd (2024)</w:t>
      </w:r>
    </w:p>
    <w:p>
      <w:r>
        <w:t>Footnote: Of edge different sort pick.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