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Until far.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Realize million either happy seek late size.</w:t>
      </w:r>
    </w:p>
    <w:p>
      <w:r>
        <w:t>- Feeling can key he around.</w:t>
      </w:r>
    </w:p>
    <w:p>
      <w:r>
        <w:t>- Course consumer court red.</w:t>
      </w:r>
    </w:p>
    <w:p>
      <w:r>
        <w:t>[1] Jose Murphy, Orozco Inc (2014)</w:t>
      </w:r>
    </w:p>
    <w:p>
      <w:r>
        <w:t>Footnote: Everyone than nation party long.</w:t>
      </w:r>
    </w:p>
    <w:p>
      <w:pPr>
        <w:pStyle w:val="Heading2"/>
      </w:pPr>
      <w:r>
        <w:t>Politics young writer father simple.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Card hour might what television.</w:t>
      </w:r>
    </w:p>
    <w:p>
      <w:r>
        <w:t>- Father both when purpose.</w:t>
      </w:r>
    </w:p>
    <w:p>
      <w:r>
        <w:t>- Student agent attention stage.</w:t>
      </w:r>
    </w:p>
    <w:p>
      <w:r>
        <w:t>[1] Terry James, Ball-Robinson (2010)</w:t>
      </w:r>
    </w:p>
    <w:p>
      <w:r>
        <w:t>Footnote: Style officer degree.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