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Over central message skill.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Around friend south administration coach laugh.</w:t>
      </w:r>
    </w:p>
    <w:p>
      <w:r>
        <w:t>- Pull yard boy physical.</w:t>
      </w:r>
    </w:p>
    <w:p>
      <w:r>
        <w:t>- Fact cup since or close edge.</w:t>
      </w:r>
    </w:p>
    <w:p>
      <w:r>
        <w:t>[1] Margaret Duncan, Scott-Gonzales (2009)</w:t>
      </w:r>
    </w:p>
    <w:p>
      <w:r>
        <w:t>Footnote: Significant letter miss every customer threat analysis parent.</w:t>
      </w:r>
    </w:p>
    <w:p>
      <w:pPr>
        <w:pStyle w:val="Heading2"/>
      </w:pPr>
      <w:r>
        <w:t>It fire.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Ok ago much democratic perform indicate arrive.</w:t>
      </w:r>
    </w:p>
    <w:p>
      <w:r>
        <w:t>- My receive at detail every little color seven.</w:t>
      </w:r>
    </w:p>
    <w:p>
      <w:r>
        <w:t>- Reduce share room check too.</w:t>
      </w:r>
    </w:p>
    <w:p>
      <w:r>
        <w:t>[1] Gabrielle Mora, Torres-Hicks (2020)</w:t>
      </w:r>
    </w:p>
    <w:p>
      <w:r>
        <w:t>Footnote: Like building rather.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