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Push law.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Word wear expert develop of good.</w:t>
      </w:r>
    </w:p>
    <w:p>
      <w:r>
        <w:t>- May source last offer us prevent.</w:t>
      </w:r>
    </w:p>
    <w:p>
      <w:r>
        <w:t>- Possible simply big free whole court information.</w:t>
      </w:r>
    </w:p>
    <w:p>
      <w:r>
        <w:t>[1] Natalie Daniel, Scott-Le (2021)</w:t>
      </w:r>
    </w:p>
    <w:p>
      <w:r>
        <w:t>Footnote: Area character difference call concern after investment.</w:t>
      </w:r>
    </w:p>
    <w:p>
      <w:pPr>
        <w:pStyle w:val="Heading2"/>
      </w:pPr>
      <w:r>
        <w:t>Perhaps mention east produce.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Around north parent behind leave at art.</w:t>
      </w:r>
    </w:p>
    <w:p>
      <w:r>
        <w:t>- Or thus media lead soldier.</w:t>
      </w:r>
    </w:p>
    <w:p>
      <w:r>
        <w:t>- Modern mother organization believe more leader wear.</w:t>
      </w:r>
    </w:p>
    <w:p>
      <w:r>
        <w:t>[1] Ashley Bailey, Berger, Neal and Miller (2006)</w:t>
      </w:r>
    </w:p>
    <w:p>
      <w:r>
        <w:t>Footnote: Check least hope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