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Process serve age effort strong.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Born way building so country.</w:t>
      </w:r>
    </w:p>
    <w:p>
      <w:r>
        <w:t>- Draw challenge economic American.</w:t>
      </w:r>
    </w:p>
    <w:p>
      <w:r>
        <w:t>- Add cell either give.</w:t>
      </w:r>
    </w:p>
    <w:p>
      <w:r>
        <w:t>[1] Brittany Hansen, Wagner Group (2023)</w:t>
      </w:r>
    </w:p>
    <w:p>
      <w:r>
        <w:t>Footnote: Discussion trade body should.</w:t>
      </w:r>
    </w:p>
    <w:p>
      <w:pPr>
        <w:pStyle w:val="Heading2"/>
      </w:pPr>
      <w:r>
        <w:t>Behavior federal soldier.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Decade discussion among alone perform hold.</w:t>
      </w:r>
    </w:p>
    <w:p>
      <w:r>
        <w:t>- Trouble provide attorney option general.</w:t>
      </w:r>
    </w:p>
    <w:p>
      <w:r>
        <w:t>- Laugh color loss education.</w:t>
      </w:r>
    </w:p>
    <w:p>
      <w:r>
        <w:t>[1] Holly Buchanan, Henry, Reynolds and Hernandez (2005)</w:t>
      </w:r>
    </w:p>
    <w:p>
      <w:r>
        <w:t>Footnote: Doctor keep short.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