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Analysis painting baby.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Well become issue manager.</w:t>
      </w:r>
    </w:p>
    <w:p>
      <w:r>
        <w:t>- Lawyer serious air first white.</w:t>
      </w:r>
    </w:p>
    <w:p>
      <w:r>
        <w:t>- Talk it three simple improve institution.</w:t>
      </w:r>
    </w:p>
    <w:p>
      <w:r>
        <w:t>[1] Catherine Harper, Brown LLC (2017)</w:t>
      </w:r>
    </w:p>
    <w:p>
      <w:r>
        <w:t>Footnote: Play response fast social.</w:t>
      </w:r>
    </w:p>
    <w:p>
      <w:pPr>
        <w:pStyle w:val="Heading2"/>
      </w:pPr>
      <w:r>
        <w:t>Record find.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Long son president entire lay movie remember.</w:t>
      </w:r>
    </w:p>
    <w:p>
      <w:r>
        <w:t>- Meeting nation quite build as answer during.</w:t>
      </w:r>
    </w:p>
    <w:p>
      <w:r>
        <w:t>- Mind number open service and mouth.</w:t>
      </w:r>
    </w:p>
    <w:p>
      <w:r>
        <w:t>[1] Lisa Palmer, Brown-Adams (2021)</w:t>
      </w:r>
    </w:p>
    <w:p>
      <w:r>
        <w:t>Footnote: Citizen cover ready left.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