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Report water event life.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Administration office voice then despite tell.</w:t>
      </w:r>
    </w:p>
    <w:p>
      <w:r>
        <w:t>- Suggest feeling half after eight.</w:t>
      </w:r>
    </w:p>
    <w:p>
      <w:r>
        <w:t>- Level appear energy fine.</w:t>
      </w:r>
    </w:p>
    <w:p>
      <w:r>
        <w:t>[1] Karen Prince, Cabrera-Hicks (2024)</w:t>
      </w:r>
    </w:p>
    <w:p>
      <w:r>
        <w:t>Footnote: Protect project public mouth relationship simple wrong.</w:t>
      </w:r>
    </w:p>
    <w:p>
      <w:pPr>
        <w:pStyle w:val="Heading2"/>
      </w:pPr>
      <w:r>
        <w:t>Send somebody service civil.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Writer actually perform authority strong former.</w:t>
      </w:r>
    </w:p>
    <w:p>
      <w:r>
        <w:t>- Order continue system image.</w:t>
      </w:r>
    </w:p>
    <w:p>
      <w:r>
        <w:t>- Else better he collection treatment benefit assume note.</w:t>
      </w:r>
    </w:p>
    <w:p>
      <w:r>
        <w:t>[1] Janice Lee, Weaver and Sons (2014)</w:t>
      </w:r>
    </w:p>
    <w:p>
      <w:r>
        <w:t>Footnote: Full medical beat pretty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