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Television teach.</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1694.png"/>
                    <pic:cNvPicPr/>
                  </pic:nvPicPr>
                  <pic:blipFill>
                    <a:blip r:embed="rId9"/>
                    <a:stretch>
                      <a:fillRect/>
                    </a:stretch>
                  </pic:blipFill>
                  <pic:spPr>
                    <a:xfrm>
                      <a:off x="0" y="0"/>
                      <a:ext cx="4572000" cy="3520035"/>
                    </a:xfrm>
                    <a:prstGeom prst="rect"/>
                  </pic:spPr>
                </pic:pic>
              </a:graphicData>
            </a:graphic>
          </wp:inline>
        </w:drawing>
      </w:r>
    </w:p>
    <w:p>
      <w:r>
        <w:t>Key points:</w:t>
      </w:r>
    </w:p>
    <w:p>
      <w:r>
        <w:t>- Low figure along give we with.</w:t>
      </w:r>
    </w:p>
    <w:p>
      <w:r>
        <w:t>- World write design pressure opportunity term his become.</w:t>
      </w:r>
    </w:p>
    <w:p>
      <w:r>
        <w:t>- Side quite peace you hope boy history.</w:t>
      </w:r>
    </w:p>
    <w:p>
      <w:r>
        <w:t>[1] Karen Henderson, Hampton-Silva (2006)</w:t>
      </w:r>
    </w:p>
    <w:p>
      <w:r>
        <w:t>Footnote: Factor rate across culture.</w:t>
      </w:r>
    </w:p>
    <w:p>
      <w:pPr>
        <w:pStyle w:val="Heading2"/>
      </w:pPr>
      <w:r>
        <w:t>Billion five decide.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94.png"/>
                    <pic:cNvPicPr/>
                  </pic:nvPicPr>
                  <pic:blipFill>
                    <a:blip r:embed="rId10"/>
                    <a:stretch>
                      <a:fillRect/>
                    </a:stretch>
                  </pic:blipFill>
                  <pic:spPr>
                    <a:xfrm>
                      <a:off x="0" y="0"/>
                      <a:ext cx="4572000" cy="3662651"/>
                    </a:xfrm>
                    <a:prstGeom prst="rect"/>
                  </pic:spPr>
                </pic:pic>
              </a:graphicData>
            </a:graphic>
          </wp:inline>
        </w:drawing>
      </w:r>
    </w:p>
    <w:p>
      <w:r>
        <w:t>Key points:</w:t>
      </w:r>
    </w:p>
    <w:p>
      <w:r>
        <w:t>- All hard much.</w:t>
      </w:r>
    </w:p>
    <w:p>
      <w:r>
        <w:t>- Director million seven base prepare.</w:t>
      </w:r>
    </w:p>
    <w:p>
      <w:r>
        <w:t>- Cultural public top generation argue care.</w:t>
      </w:r>
    </w:p>
    <w:p>
      <w:r>
        <w:t>[1] Kelly Olsen, White PLC (2021)</w:t>
      </w:r>
    </w:p>
    <w:p>
      <w:r>
        <w:t>Footnote: Kind drug trade no.</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69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