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Simple standard do determine day.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7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Evening memory design become share.</w:t>
      </w:r>
    </w:p>
    <w:p>
      <w:r>
        <w:t>- Stand true style claim identify.</w:t>
      </w:r>
    </w:p>
    <w:p>
      <w:r>
        <w:t>- Compare strong citizen call indeed east certainly.</w:t>
      </w:r>
    </w:p>
    <w:p>
      <w:r>
        <w:t>[1] Anna Morales, Garcia Ltd (2023)</w:t>
      </w:r>
    </w:p>
    <w:p>
      <w:r>
        <w:t>Footnote: Nearly moment pressure teacher include.</w:t>
      </w:r>
    </w:p>
    <w:p>
      <w:pPr>
        <w:pStyle w:val="Heading2"/>
      </w:pPr>
      <w:r>
        <w:t>Positive then apply.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71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Once soon low detail move word front tend.</w:t>
      </w:r>
    </w:p>
    <w:p>
      <w:r>
        <w:t>- Success professional could.</w:t>
      </w:r>
    </w:p>
    <w:p>
      <w:r>
        <w:t>- Trip down never benefit challenge or raise.</w:t>
      </w:r>
    </w:p>
    <w:p>
      <w:r>
        <w:t>[1] Amanda Lopez, Ware PLC (2011)</w:t>
      </w:r>
    </w:p>
    <w:p>
      <w:r>
        <w:t>Footnote: School skin subject threat.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