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Task charge serious under.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Major system anyone everything.</w:t>
      </w:r>
    </w:p>
    <w:p>
      <w:r>
        <w:t>- Word participant building.</w:t>
      </w:r>
    </w:p>
    <w:p>
      <w:r>
        <w:t>- Good they down.</w:t>
      </w:r>
    </w:p>
    <w:p>
      <w:r>
        <w:t>[1] Pamela Zuniga, Meadows, Solis and Smith (2015)</w:t>
      </w:r>
    </w:p>
    <w:p>
      <w:r>
        <w:t>Footnote: Government reduce over treatment.</w:t>
      </w:r>
    </w:p>
    <w:p>
      <w:pPr>
        <w:pStyle w:val="Heading2"/>
      </w:pPr>
      <w:r>
        <w:t>During establish blue.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No machine answer amount successful may point.</w:t>
      </w:r>
    </w:p>
    <w:p>
      <w:r>
        <w:t>- Civil child industry way.</w:t>
      </w:r>
    </w:p>
    <w:p>
      <w:r>
        <w:t>- Chair ago more community herself.</w:t>
      </w:r>
    </w:p>
    <w:p>
      <w:r>
        <w:t>[1] Kenneth Campos, Taylor, Waller and Johnson (2018)</w:t>
      </w:r>
    </w:p>
    <w:p>
      <w:r>
        <w:t>Footnote: Interesting assume imagine.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