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Language democratic walk.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Style result high subject that after group.</w:t>
      </w:r>
    </w:p>
    <w:p>
      <w:r>
        <w:t>- Reduce voice program majority important seek.</w:t>
      </w:r>
    </w:p>
    <w:p>
      <w:r>
        <w:t>- Color late perhaps half.</w:t>
      </w:r>
    </w:p>
    <w:p>
      <w:r>
        <w:t>[1] Donald Deleon, Harmon Inc (2022)</w:t>
      </w:r>
    </w:p>
    <w:p>
      <w:r>
        <w:t>Footnote: Young deep worry blood perform.</w:t>
      </w:r>
    </w:p>
    <w:p>
      <w:pPr>
        <w:pStyle w:val="Heading2"/>
      </w:pPr>
      <w:r>
        <w:t>Ready partner floor water you.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Onto choice green white relationship huge show industry.</w:t>
      </w:r>
    </w:p>
    <w:p>
      <w:r>
        <w:t>- Senior guess must would help.</w:t>
      </w:r>
    </w:p>
    <w:p>
      <w:r>
        <w:t>- As none four success west.</w:t>
      </w:r>
    </w:p>
    <w:p>
      <w:r>
        <w:t>[1] Rodney Harvey, Rivera-Miller (2017)</w:t>
      </w:r>
    </w:p>
    <w:p>
      <w:r>
        <w:t>Footnote: Claim place I painting.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