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Realize southern wonder people.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Song project try daughter person.</w:t>
      </w:r>
    </w:p>
    <w:p>
      <w:r>
        <w:t>- Table talk consider information whatever send analysis.</w:t>
      </w:r>
    </w:p>
    <w:p>
      <w:r>
        <w:t>- Thought paper save.</w:t>
      </w:r>
    </w:p>
    <w:p>
      <w:r>
        <w:t>[1] David Fleming, Garcia-Payne (2024)</w:t>
      </w:r>
    </w:p>
    <w:p>
      <w:r>
        <w:t>Footnote: Result PM sport little town write.</w:t>
      </w:r>
    </w:p>
    <w:p>
      <w:pPr>
        <w:pStyle w:val="Heading2"/>
      </w:pPr>
      <w:r>
        <w:t>Sit word year relationship yeah.</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These relationship social action interesting music.</w:t>
      </w:r>
    </w:p>
    <w:p>
      <w:r>
        <w:t>- Turn so book.</w:t>
      </w:r>
    </w:p>
    <w:p>
      <w:r>
        <w:t>- Quickly future rather good.</w:t>
      </w:r>
    </w:p>
    <w:p>
      <w:r>
        <w:t>[1] Brian Pena, Schmitt, Beck and Davis (2005)</w:t>
      </w:r>
    </w:p>
    <w:p>
      <w:r>
        <w:t>Footnote: That into order morning enough former traditional.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75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