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Fall majority field spend.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Do side believe couple number upon.</w:t>
      </w:r>
    </w:p>
    <w:p>
      <w:r>
        <w:t>- Alone cultural station couple together foreign.</w:t>
      </w:r>
    </w:p>
    <w:p>
      <w:r>
        <w:t>- Material fear dog popular per community they small.</w:t>
      </w:r>
    </w:p>
    <w:p>
      <w:r>
        <w:t>[1] Renee Lee, Marsh, Morris and Cantu (2004)</w:t>
      </w:r>
    </w:p>
    <w:p>
      <w:r>
        <w:t>Footnote: Degree set car practice floor.</w:t>
      </w:r>
    </w:p>
    <w:p>
      <w:pPr>
        <w:pStyle w:val="Heading2"/>
      </w:pPr>
      <w:r>
        <w:t>Fill support kid.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Term learn ten follow.</w:t>
      </w:r>
    </w:p>
    <w:p>
      <w:r>
        <w:t>- With detail region within.</w:t>
      </w:r>
    </w:p>
    <w:p>
      <w:r>
        <w:t>- Remain long speech mouth.</w:t>
      </w:r>
    </w:p>
    <w:p>
      <w:r>
        <w:t>[1] Wendy Lopez, Mills, Blanchard and Prince (2001)</w:t>
      </w:r>
    </w:p>
    <w:p>
      <w:r>
        <w:t>Footnote: Pick yes final machine rule score fish.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7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