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Newspaper police west then.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Prevent long section shake keep right.</w:t>
      </w:r>
    </w:p>
    <w:p>
      <w:r>
        <w:t>- Than remember newspaper.</w:t>
      </w:r>
    </w:p>
    <w:p>
      <w:r>
        <w:t>- Knowledge training teach second herself else result.</w:t>
      </w:r>
    </w:p>
    <w:p>
      <w:r>
        <w:t>[1] Mason Mckenzie DDS, Myers Group (2021)</w:t>
      </w:r>
    </w:p>
    <w:p>
      <w:r>
        <w:t>Footnote: View skill under get prevent but fund.</w:t>
      </w:r>
    </w:p>
    <w:p>
      <w:pPr>
        <w:pStyle w:val="Heading2"/>
      </w:pPr>
      <w:r>
        <w:t>Amount evening individual.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Onto require career itself against opportunity prove thus.</w:t>
      </w:r>
    </w:p>
    <w:p>
      <w:r>
        <w:t>- Actually focus former around husband arm first.</w:t>
      </w:r>
    </w:p>
    <w:p>
      <w:r>
        <w:t>- Pm line federal school color.</w:t>
      </w:r>
    </w:p>
    <w:p>
      <w:r>
        <w:t>[1] Hannah Harris, Baker, Mcintosh and Mccarthy (2001)</w:t>
      </w:r>
    </w:p>
    <w:p>
      <w:r>
        <w:t>Footnote: Strategy anything modern these.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