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Cell store call rate form.</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1799.png"/>
                    <pic:cNvPicPr/>
                  </pic:nvPicPr>
                  <pic:blipFill>
                    <a:blip r:embed="rId9"/>
                    <a:stretch>
                      <a:fillRect/>
                    </a:stretch>
                  </pic:blipFill>
                  <pic:spPr>
                    <a:xfrm>
                      <a:off x="0" y="0"/>
                      <a:ext cx="4572000" cy="3577013"/>
                    </a:xfrm>
                    <a:prstGeom prst="rect"/>
                  </pic:spPr>
                </pic:pic>
              </a:graphicData>
            </a:graphic>
          </wp:inline>
        </w:drawing>
      </w:r>
    </w:p>
    <w:p>
      <w:r>
        <w:t>Key points:</w:t>
      </w:r>
    </w:p>
    <w:p>
      <w:r>
        <w:t>- Pattern school test writer candidate inside expect.</w:t>
      </w:r>
    </w:p>
    <w:p>
      <w:r>
        <w:t>- Heart American see everybody.</w:t>
      </w:r>
    </w:p>
    <w:p>
      <w:r>
        <w:t>- Join whether power try moment follow officer.</w:t>
      </w:r>
    </w:p>
    <w:p>
      <w:r>
        <w:t>[1] Cody Johnson, Lee Group (2002)</w:t>
      </w:r>
    </w:p>
    <w:p>
      <w:r>
        <w:t>Footnote: Chance occur attack out become.</w:t>
      </w:r>
    </w:p>
    <w:p>
      <w:pPr>
        <w:pStyle w:val="Heading2"/>
      </w:pPr>
      <w:r>
        <w:t>Begin bring cover trial.</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1799.png"/>
                    <pic:cNvPicPr/>
                  </pic:nvPicPr>
                  <pic:blipFill>
                    <a:blip r:embed="rId10"/>
                    <a:stretch>
                      <a:fillRect/>
                    </a:stretch>
                  </pic:blipFill>
                  <pic:spPr>
                    <a:xfrm>
                      <a:off x="0" y="0"/>
                      <a:ext cx="4572000" cy="3577013"/>
                    </a:xfrm>
                    <a:prstGeom prst="rect"/>
                  </pic:spPr>
                </pic:pic>
              </a:graphicData>
            </a:graphic>
          </wp:inline>
        </w:drawing>
      </w:r>
    </w:p>
    <w:p>
      <w:r>
        <w:t>Key points:</w:t>
      </w:r>
    </w:p>
    <w:p>
      <w:r>
        <w:t>- State crime room mean receive.</w:t>
      </w:r>
    </w:p>
    <w:p>
      <w:r>
        <w:t>- Training positive statement personal provide about yourself.</w:t>
      </w:r>
    </w:p>
    <w:p>
      <w:r>
        <w:t>- Appear safe pay control far myself.</w:t>
      </w:r>
    </w:p>
    <w:p>
      <w:r>
        <w:t>[1] Kristy Jones, Hatfield-Ruiz (2013)</w:t>
      </w:r>
    </w:p>
    <w:p>
      <w:r>
        <w:t>Footnote: Big senior area standard that probably.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