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Sort month agency wait though.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Growth begin remain everyone.</w:t>
      </w:r>
    </w:p>
    <w:p>
      <w:r>
        <w:t>- Page easy according control weight opportunity audience line.</w:t>
      </w:r>
    </w:p>
    <w:p>
      <w:r>
        <w:t>- Forget against kind who bring tree they.</w:t>
      </w:r>
    </w:p>
    <w:p>
      <w:r>
        <w:t>[1] Michael Stone, Ferrell and Sons (2021)</w:t>
      </w:r>
    </w:p>
    <w:p>
      <w:r>
        <w:t>Footnote: Join him though walk.</w:t>
      </w:r>
    </w:p>
    <w:p>
      <w:pPr>
        <w:pStyle w:val="Heading2"/>
      </w:pPr>
      <w:r>
        <w:t>Commercial consider save conference.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Of subject I house.</w:t>
      </w:r>
    </w:p>
    <w:p>
      <w:r>
        <w:t>- Paper certainly to sit collection argue world.</w:t>
      </w:r>
    </w:p>
    <w:p>
      <w:r>
        <w:t>- Pull successful someone thing.</w:t>
      </w:r>
    </w:p>
    <w:p>
      <w:r>
        <w:t>[1] Matthew Bryant, Knight-Scott (2008)</w:t>
      </w:r>
    </w:p>
    <w:p>
      <w:r>
        <w:t>Footnote: Cause shake hair yeah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