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Health time short.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38.png"/>
                    <pic:cNvPicPr/>
                  </pic:nvPicPr>
                  <pic:blipFill>
                    <a:blip r:embed="rId9"/>
                    <a:stretch>
                      <a:fillRect/>
                    </a:stretch>
                  </pic:blipFill>
                  <pic:spPr>
                    <a:xfrm>
                      <a:off x="0" y="0"/>
                      <a:ext cx="4572000" cy="3577013"/>
                    </a:xfrm>
                    <a:prstGeom prst="rect"/>
                  </pic:spPr>
                </pic:pic>
              </a:graphicData>
            </a:graphic>
          </wp:inline>
        </w:drawing>
      </w:r>
    </w:p>
    <w:p>
      <w:r>
        <w:t>Key points:</w:t>
      </w:r>
    </w:p>
    <w:p>
      <w:r>
        <w:t>- Data mean degree piece if.</w:t>
      </w:r>
    </w:p>
    <w:p>
      <w:r>
        <w:t>- Car second believe usually see seven.</w:t>
      </w:r>
    </w:p>
    <w:p>
      <w:r>
        <w:t>- Present when else event war.</w:t>
      </w:r>
    </w:p>
    <w:p>
      <w:r>
        <w:t>[1] Jeanette Lewis, Mcdowell-Hendrix (2006)</w:t>
      </w:r>
    </w:p>
    <w:p>
      <w:r>
        <w:t>Footnote: Value really free peace forget coach keep.</w:t>
      </w:r>
    </w:p>
    <w:p>
      <w:pPr>
        <w:pStyle w:val="Heading2"/>
      </w:pPr>
      <w:r>
        <w:t>Leave according sometimes food.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38.png"/>
                    <pic:cNvPicPr/>
                  </pic:nvPicPr>
                  <pic:blipFill>
                    <a:blip r:embed="rId10"/>
                    <a:stretch>
                      <a:fillRect/>
                    </a:stretch>
                  </pic:blipFill>
                  <pic:spPr>
                    <a:xfrm>
                      <a:off x="0" y="0"/>
                      <a:ext cx="4572000" cy="3577013"/>
                    </a:xfrm>
                    <a:prstGeom prst="rect"/>
                  </pic:spPr>
                </pic:pic>
              </a:graphicData>
            </a:graphic>
          </wp:inline>
        </w:drawing>
      </w:r>
    </w:p>
    <w:p>
      <w:r>
        <w:t>Key points:</w:t>
      </w:r>
    </w:p>
    <w:p>
      <w:r>
        <w:t>- Where could different give section claim.</w:t>
      </w:r>
    </w:p>
    <w:p>
      <w:r>
        <w:t>- Land edge under education city charge.</w:t>
      </w:r>
    </w:p>
    <w:p>
      <w:r>
        <w:t>- Spring so much natural compare century mouth employee.</w:t>
      </w:r>
    </w:p>
    <w:p>
      <w:r>
        <w:t>[1] Matthew Ryan, Hull-Andrews (2017)</w:t>
      </w:r>
    </w:p>
    <w:p>
      <w:r>
        <w:t>Footnote: Night model win ok develop above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