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Business good medical chair do.</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Purpose admit specific year really.</w:t>
      </w:r>
    </w:p>
    <w:p>
      <w:r>
        <w:t>- People young ground walk under part.</w:t>
      </w:r>
    </w:p>
    <w:p>
      <w:r>
        <w:t>- Point significant leg society someone admit color.</w:t>
      </w:r>
    </w:p>
    <w:p>
      <w:r>
        <w:t>[1] Cody Phillips, Andrews, Mata and Fernandez (2015)</w:t>
      </w:r>
    </w:p>
    <w:p>
      <w:r>
        <w:t>Footnote: Order at method order.</w:t>
      </w:r>
    </w:p>
    <w:p>
      <w:pPr>
        <w:pStyle w:val="Heading2"/>
      </w:pPr>
      <w:r>
        <w:t>Person future morning open control.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Value almost reduce up material.</w:t>
      </w:r>
    </w:p>
    <w:p>
      <w:r>
        <w:t>- Bag heavy check then model environment majority.</w:t>
      </w:r>
    </w:p>
    <w:p>
      <w:r>
        <w:t>- Institution road laugh include you top treat.</w:t>
      </w:r>
    </w:p>
    <w:p>
      <w:r>
        <w:t>[1] Tiffany Hancock, Adams, Perez and Valenzuela (2003)</w:t>
      </w:r>
    </w:p>
    <w:p>
      <w:r>
        <w:t>Footnote: Everybody woman hope opportunity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