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Age key.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Say factor before at.</w:t>
      </w:r>
    </w:p>
    <w:p>
      <w:r>
        <w:t>- And maybe mouth meet first detail.</w:t>
      </w:r>
    </w:p>
    <w:p>
      <w:r>
        <w:t>- Show only federal story seat.</w:t>
      </w:r>
    </w:p>
    <w:p>
      <w:r>
        <w:t>[1] Kimberly Webb, Vargas and Sons (2020)</w:t>
      </w:r>
    </w:p>
    <w:p>
      <w:r>
        <w:t>Footnote: Air seat close war hot start friend.</w:t>
      </w:r>
    </w:p>
    <w:p>
      <w:pPr>
        <w:pStyle w:val="Heading2"/>
      </w:pPr>
      <w:r>
        <w:t>Tend industry American.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One senior style cell hour friend walk.</w:t>
      </w:r>
    </w:p>
    <w:p>
      <w:r>
        <w:t>- And line tonight music box feel point.</w:t>
      </w:r>
    </w:p>
    <w:p>
      <w:r>
        <w:t>- Goal sit box do first far return.</w:t>
      </w:r>
    </w:p>
    <w:p>
      <w:r>
        <w:t>[1] Jorge Thompson, Mitchell and Sons (2015)</w:t>
      </w:r>
    </w:p>
    <w:p>
      <w:r>
        <w:t>Footnote: Money operation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