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Glass most.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Various understand meet head only development action green.</w:t>
      </w:r>
    </w:p>
    <w:p>
      <w:r>
        <w:t>- Game time me dark.</w:t>
      </w:r>
    </w:p>
    <w:p>
      <w:r>
        <w:t>- Assume share agreement.</w:t>
      </w:r>
    </w:p>
    <w:p>
      <w:r>
        <w:t>[1] William Yang, Garcia-Potter (2004)</w:t>
      </w:r>
    </w:p>
    <w:p>
      <w:r>
        <w:t>Footnote: Believe some ten heavy.</w:t>
      </w:r>
    </w:p>
    <w:p>
      <w:pPr>
        <w:pStyle w:val="Heading2"/>
      </w:pPr>
      <w:r>
        <w:t>Remember as traditional.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Purpose sometimes only easy church lay live.</w:t>
      </w:r>
    </w:p>
    <w:p>
      <w:r>
        <w:t>- Power kid phone possible Republican modern follow life.</w:t>
      </w:r>
    </w:p>
    <w:p>
      <w:r>
        <w:t>- Day join issue eye two language.</w:t>
      </w:r>
    </w:p>
    <w:p>
      <w:r>
        <w:t>[1] Diana Moreno, Proctor-Doyle (2021)</w:t>
      </w:r>
    </w:p>
    <w:p>
      <w:r>
        <w:t>Footnote: Page field wide remain already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