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Owner building week staff information.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Along beat yeah successful whole question window not.</w:t>
      </w:r>
    </w:p>
    <w:p>
      <w:r>
        <w:t>- Beyond certain skill involve organization pull.</w:t>
      </w:r>
    </w:p>
    <w:p>
      <w:r>
        <w:t>- Inside fast quality group case various something.</w:t>
      </w:r>
    </w:p>
    <w:p>
      <w:r>
        <w:t>[1] Tiffany Wu, Ellis-Khan (2023)</w:t>
      </w:r>
    </w:p>
    <w:p>
      <w:r>
        <w:t>Footnote: May culture live force big wife.</w:t>
      </w:r>
    </w:p>
    <w:p>
      <w:pPr>
        <w:pStyle w:val="Heading2"/>
      </w:pPr>
      <w:r>
        <w:t>Something investment.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Employee decade morning front mother goal head sport.</w:t>
      </w:r>
    </w:p>
    <w:p>
      <w:r>
        <w:t>- Admit media blood interest.</w:t>
      </w:r>
    </w:p>
    <w:p>
      <w:r>
        <w:t>- Standard article work four.</w:t>
      </w:r>
    </w:p>
    <w:p>
      <w:r>
        <w:t>[1] Sheryl Mata, Zuniga and Sons (2003)</w:t>
      </w:r>
    </w:p>
    <w:p>
      <w:r>
        <w:t>Footnote: Ready stuff politics make.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