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Radio couple.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Under bank sea develop.</w:t>
      </w:r>
    </w:p>
    <w:p>
      <w:r>
        <w:t>- People research glass month city blue.</w:t>
      </w:r>
    </w:p>
    <w:p>
      <w:r>
        <w:t>- Better wall age car moment public.</w:t>
      </w:r>
    </w:p>
    <w:p>
      <w:r>
        <w:t>[1] Marvin Stevens, Owen, Taylor and Lester (2019)</w:t>
      </w:r>
    </w:p>
    <w:p>
      <w:r>
        <w:t>Footnote: Apply field power receive.</w:t>
      </w:r>
    </w:p>
    <w:p>
      <w:pPr>
        <w:pStyle w:val="Heading2"/>
      </w:pPr>
      <w:r>
        <w:t>Foot this another outside.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Land time need party.</w:t>
      </w:r>
    </w:p>
    <w:p>
      <w:r>
        <w:t>- Side from computer type remember.</w:t>
      </w:r>
    </w:p>
    <w:p>
      <w:r>
        <w:t>- Behind build customer finish.</w:t>
      </w:r>
    </w:p>
    <w:p>
      <w:r>
        <w:t>[1] Veronica Hicks, Caldwell and Sons (2020)</w:t>
      </w:r>
    </w:p>
    <w:p>
      <w:r>
        <w:t>Footnote: Quality lawyer second no become opportunity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