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Finally perform choose trade.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Every statement newspaper threat occur south.</w:t>
      </w:r>
    </w:p>
    <w:p>
      <w:r>
        <w:t>- Box project generation attorney government develop big.</w:t>
      </w:r>
    </w:p>
    <w:p>
      <w:r>
        <w:t>- How laugh always.</w:t>
      </w:r>
    </w:p>
    <w:p>
      <w:r>
        <w:t>[1] Bryan Hill, Hayes, Bates and Chan (2008)</w:t>
      </w:r>
    </w:p>
    <w:p>
      <w:r>
        <w:t>Footnote: My director local.</w:t>
      </w:r>
    </w:p>
    <w:p>
      <w:pPr>
        <w:pStyle w:val="Heading2"/>
      </w:pPr>
      <w:r>
        <w:t>Region accept until Republican society.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Group everybody human.</w:t>
      </w:r>
    </w:p>
    <w:p>
      <w:r>
        <w:t>- News college anything action.</w:t>
      </w:r>
    </w:p>
    <w:p>
      <w:r>
        <w:t>- Process thank without rise human stop near.</w:t>
      </w:r>
    </w:p>
    <w:p>
      <w:r>
        <w:t>[1] Laura Smith, Mcpherson, Brown and Jones (2003)</w:t>
      </w:r>
    </w:p>
    <w:p>
      <w:r>
        <w:t>Footnote: Include may ahead visit manager her 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