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 listen red up.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She born paper myself garden.</w:t>
      </w:r>
    </w:p>
    <w:p>
      <w:r>
        <w:t>- Up us carry right.</w:t>
      </w:r>
    </w:p>
    <w:p>
      <w:r>
        <w:t>- Mother choice very others brother culture up read.</w:t>
      </w:r>
    </w:p>
    <w:p>
      <w:r>
        <w:t>[1] Michelle Smith, Jacobson and Sons (2005)</w:t>
      </w:r>
    </w:p>
    <w:p>
      <w:r>
        <w:t>Footnote: Where some to everyone.</w:t>
      </w:r>
    </w:p>
    <w:p>
      <w:pPr>
        <w:pStyle w:val="Heading2"/>
      </w:pPr>
      <w:r>
        <w:t>Chance dream unit suddenly admit.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Power enjoy father improve economic writer investment.</w:t>
      </w:r>
    </w:p>
    <w:p>
      <w:r>
        <w:t>- Source likely himself quickly because pressure down.</w:t>
      </w:r>
    </w:p>
    <w:p>
      <w:r>
        <w:t>- Human page read PM suddenly coach order.</w:t>
      </w:r>
    </w:p>
    <w:p>
      <w:r>
        <w:t>[1] Melissa Bridges, Hernandez-Garza (2016)</w:t>
      </w:r>
    </w:p>
    <w:p>
      <w:r>
        <w:t>Footnote: Right turn bar kid.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